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F6F" w14:textId="6D1CC798" w:rsidR="00D4150D" w:rsidRDefault="00CA1241" w:rsidP="00E37101">
      <w:pPr>
        <w:spacing w:after="120" w:line="240" w:lineRule="auto"/>
        <w:rPr>
          <w:b/>
          <w:lang w:val="en-CA"/>
        </w:rPr>
      </w:pPr>
      <w:r w:rsidRPr="00E37101">
        <w:rPr>
          <w:b/>
          <w:lang w:val="en-CA"/>
        </w:rPr>
        <w:t xml:space="preserve">Additional file </w:t>
      </w:r>
      <w:r w:rsidR="006B0F5A">
        <w:rPr>
          <w:b/>
          <w:lang w:val="en-CA"/>
        </w:rPr>
        <w:t>2</w:t>
      </w:r>
    </w:p>
    <w:p w14:paraId="27A5A7F4" w14:textId="00D4EA68" w:rsidR="006B0F5A" w:rsidRPr="006B0F5A" w:rsidRDefault="006B0F5A" w:rsidP="006B0F5A">
      <w:pPr>
        <w:spacing w:after="0" w:line="360" w:lineRule="auto"/>
        <w:jc w:val="both"/>
        <w:rPr>
          <w:rFonts w:cs="Times New Roman"/>
          <w:b/>
          <w:bCs/>
          <w:lang w:val="en-CA"/>
        </w:rPr>
      </w:pPr>
      <w:r>
        <w:rPr>
          <w:rFonts w:cs="Times New Roman"/>
          <w:b/>
          <w:bCs/>
          <w:lang w:val="en-CA"/>
        </w:rPr>
        <w:t xml:space="preserve">Sensitivity analysis – </w:t>
      </w:r>
      <w:r w:rsidRPr="006B0F5A">
        <w:rPr>
          <w:rFonts w:cs="Times New Roman"/>
          <w:b/>
          <w:bCs/>
          <w:lang w:val="en-CA"/>
        </w:rPr>
        <w:t>Polytomous regression models for determinants of positive and negative</w:t>
      </w:r>
      <w:r w:rsidRPr="0039604B">
        <w:rPr>
          <w:rFonts w:cs="Times New Roman"/>
          <w:b/>
          <w:bCs/>
          <w:lang w:val="en-CA"/>
        </w:rPr>
        <w:t xml:space="preserve"> agreement</w:t>
      </w:r>
      <w:r w:rsidR="0039604B" w:rsidRPr="0039604B">
        <w:rPr>
          <w:rFonts w:cs="Times New Roman"/>
          <w:b/>
          <w:bCs/>
          <w:lang w:val="en-CA"/>
        </w:rPr>
        <w:t xml:space="preserve"> between asthma defined from administrative data and self-report of ever having asthma diagnosed by a physician</w:t>
      </w:r>
      <w:r w:rsidR="0039604B" w:rsidRPr="0039604B">
        <w:rPr>
          <w:rFonts w:eastAsia="Times New Roman" w:cs="Times New Roman"/>
          <w:b/>
          <w:bCs/>
          <w:lang w:val="en-CA"/>
        </w:rPr>
        <w:t xml:space="preserve"> (n=1638)</w:t>
      </w:r>
      <w:r w:rsidR="0039604B" w:rsidRPr="0039604B">
        <w:rPr>
          <w:rFonts w:cs="Times New Roman"/>
          <w:b/>
          <w:bCs/>
          <w:vertAlign w:val="superscript"/>
          <w:lang w:val="en-CA"/>
        </w:rPr>
        <w:t>a</w:t>
      </w:r>
      <w:r w:rsidRPr="0039604B">
        <w:rPr>
          <w:rFonts w:cs="Times New Roman"/>
          <w:b/>
          <w:bCs/>
          <w:lang w:val="en-CA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017585" w:rsidRPr="006B0F5A" w14:paraId="334A3FF8" w14:textId="77777777" w:rsidTr="00017585">
        <w:trPr>
          <w:trHeight w:val="518"/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928F809" w14:textId="77777777" w:rsidR="00017585" w:rsidRPr="001E701A" w:rsidRDefault="00017585" w:rsidP="00017585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E701A">
              <w:rPr>
                <w:rFonts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624E96" w14:textId="792341EC" w:rsidR="00017585" w:rsidRPr="001E701A" w:rsidRDefault="00017585" w:rsidP="0001758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agreement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4F6DB220" w14:textId="77777777" w:rsidR="00017585" w:rsidRPr="001E701A" w:rsidRDefault="00017585" w:rsidP="0001758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701A">
              <w:rPr>
                <w:rFonts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7738C59" w14:textId="10A4ACB1" w:rsidR="00017585" w:rsidRPr="001E701A" w:rsidRDefault="00017585" w:rsidP="0001758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Negative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agreement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1E701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6DC0F78" w14:textId="77777777" w:rsidR="00017585" w:rsidRPr="001E701A" w:rsidRDefault="00017585" w:rsidP="0001758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701A">
              <w:rPr>
                <w:rFonts w:cs="Times New Roman"/>
                <w:b/>
                <w:sz w:val="20"/>
                <w:szCs w:val="20"/>
              </w:rPr>
              <w:t>OR (95% CI)</w:t>
            </w:r>
          </w:p>
        </w:tc>
      </w:tr>
      <w:tr w:rsidR="00017585" w:rsidRPr="001E701A" w14:paraId="3655157D" w14:textId="77777777" w:rsidTr="00017585">
        <w:tc>
          <w:tcPr>
            <w:tcW w:w="4253" w:type="dxa"/>
            <w:shd w:val="clear" w:color="auto" w:fill="auto"/>
          </w:tcPr>
          <w:p w14:paraId="037CB892" w14:textId="6D0B5247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Parental </w:t>
            </w:r>
            <w:r w:rsidRPr="001E701A">
              <w:rPr>
                <w:rFonts w:cs="Times New Roman"/>
                <w:b/>
                <w:sz w:val="20"/>
                <w:szCs w:val="20"/>
              </w:rPr>
              <w:t>history of asthma</w:t>
            </w:r>
          </w:p>
        </w:tc>
        <w:tc>
          <w:tcPr>
            <w:tcW w:w="2693" w:type="dxa"/>
            <w:shd w:val="clear" w:color="auto" w:fill="auto"/>
          </w:tcPr>
          <w:p w14:paraId="7E70C729" w14:textId="42837025" w:rsidR="00017585" w:rsidRPr="001E701A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1E701A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P=0.</w:t>
            </w:r>
            <w:r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151</w:t>
            </w:r>
          </w:p>
        </w:tc>
        <w:tc>
          <w:tcPr>
            <w:tcW w:w="2693" w:type="dxa"/>
            <w:shd w:val="clear" w:color="auto" w:fill="auto"/>
          </w:tcPr>
          <w:p w14:paraId="4D36472B" w14:textId="1EEAD41D" w:rsidR="00017585" w:rsidRPr="001E701A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0BB">
              <w:rPr>
                <w:rFonts w:eastAsia="Times New Roman" w:cs="Times New Roman"/>
                <w:i/>
                <w:iCs/>
                <w:sz w:val="20"/>
                <w:szCs w:val="20"/>
              </w:rPr>
              <w:t>P=0.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056</w:t>
            </w:r>
          </w:p>
        </w:tc>
      </w:tr>
      <w:tr w:rsidR="00017585" w:rsidRPr="001E701A" w14:paraId="2162A62D" w14:textId="77777777" w:rsidTr="00017585">
        <w:tc>
          <w:tcPr>
            <w:tcW w:w="4253" w:type="dxa"/>
            <w:shd w:val="clear" w:color="auto" w:fill="auto"/>
          </w:tcPr>
          <w:p w14:paraId="6A388E24" w14:textId="533C3A24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01A">
              <w:rPr>
                <w:rFonts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2693" w:type="dxa"/>
            <w:shd w:val="clear" w:color="auto" w:fill="auto"/>
          </w:tcPr>
          <w:p w14:paraId="34640525" w14:textId="1F344418" w:rsidR="00017585" w:rsidRPr="001E701A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1E701A">
              <w:rPr>
                <w:rFonts w:eastAsia="Times New Roman" w:cs="Times New Roman"/>
                <w:sz w:val="20"/>
                <w:szCs w:val="20"/>
                <w:lang w:val="en-CA"/>
              </w:rPr>
              <w:t>Ref</w:t>
            </w:r>
          </w:p>
        </w:tc>
        <w:tc>
          <w:tcPr>
            <w:tcW w:w="2693" w:type="dxa"/>
            <w:shd w:val="clear" w:color="auto" w:fill="auto"/>
          </w:tcPr>
          <w:p w14:paraId="5DA1C07F" w14:textId="3324FC73" w:rsidR="00017585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Ref</w:t>
            </w:r>
          </w:p>
        </w:tc>
      </w:tr>
      <w:tr w:rsidR="00017585" w:rsidRPr="001E701A" w14:paraId="621086F4" w14:textId="77777777" w:rsidTr="00017585">
        <w:trPr>
          <w:trHeight w:val="74"/>
        </w:trPr>
        <w:tc>
          <w:tcPr>
            <w:tcW w:w="4253" w:type="dxa"/>
            <w:shd w:val="clear" w:color="auto" w:fill="auto"/>
          </w:tcPr>
          <w:p w14:paraId="79262038" w14:textId="77777777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01A">
              <w:rPr>
                <w:rFonts w:cs="Times New Roman"/>
                <w:sz w:val="20"/>
                <w:szCs w:val="20"/>
              </w:rPr>
              <w:tab/>
              <w:t>Yes</w:t>
            </w:r>
          </w:p>
        </w:tc>
        <w:tc>
          <w:tcPr>
            <w:tcW w:w="2693" w:type="dxa"/>
            <w:shd w:val="clear" w:color="auto" w:fill="auto"/>
          </w:tcPr>
          <w:p w14:paraId="7B6A2F3C" w14:textId="2A39B095" w:rsidR="00017585" w:rsidRPr="00F25A48" w:rsidRDefault="00017585" w:rsidP="00017585">
            <w:pPr>
              <w:spacing w:line="360" w:lineRule="auto"/>
              <w:ind w:right="461"/>
              <w:jc w:val="right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1</w:t>
            </w:r>
            <w:r w:rsidRPr="008530BB">
              <w:rPr>
                <w:rFonts w:eastAsia="Times New Roman" w:cs="Times New Roman"/>
                <w:sz w:val="20"/>
                <w:szCs w:val="20"/>
                <w:lang w:val="en-CA"/>
              </w:rPr>
              <w:t>.6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0</w:t>
            </w:r>
            <w:r w:rsidRPr="008530BB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(0.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84</w:t>
            </w:r>
            <w:r w:rsidRPr="008530BB">
              <w:rPr>
                <w:rFonts w:eastAsia="Times New Roman" w:cs="Times New Roman"/>
                <w:sz w:val="20"/>
                <w:szCs w:val="20"/>
                <w:lang w:val="en-CA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3.02</w:t>
            </w:r>
            <w:r w:rsidRPr="008530BB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FA257D7" w14:textId="28FE2402" w:rsidR="00017585" w:rsidRPr="00F25A48" w:rsidRDefault="00017585" w:rsidP="00017585">
            <w:pPr>
              <w:spacing w:line="360" w:lineRule="auto"/>
              <w:ind w:right="601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25A48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54</w:t>
            </w:r>
            <w:r w:rsidRPr="00F25A48">
              <w:rPr>
                <w:rFonts w:eastAsia="Times New Roman" w:cs="Times New Roman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sz w:val="20"/>
                <w:szCs w:val="20"/>
              </w:rPr>
              <w:t>29</w:t>
            </w:r>
            <w:r w:rsidRPr="00F25A48">
              <w:rPr>
                <w:rFonts w:eastAsia="Times New Roman" w:cs="Times New Roman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sz w:val="20"/>
                <w:szCs w:val="20"/>
              </w:rPr>
              <w:t>02</w:t>
            </w:r>
            <w:r w:rsidRPr="00F25A48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017585" w:rsidRPr="001E701A" w14:paraId="370F0598" w14:textId="77777777" w:rsidTr="00017585">
        <w:trPr>
          <w:trHeight w:val="60"/>
        </w:trPr>
        <w:tc>
          <w:tcPr>
            <w:tcW w:w="4253" w:type="dxa"/>
            <w:shd w:val="clear" w:color="auto" w:fill="auto"/>
          </w:tcPr>
          <w:p w14:paraId="0A2CBA3E" w14:textId="77777777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0F1923F" w14:textId="77777777" w:rsidR="00017585" w:rsidRPr="008530BB" w:rsidRDefault="00017585" w:rsidP="00017585">
            <w:pPr>
              <w:spacing w:line="360" w:lineRule="auto"/>
              <w:ind w:right="461"/>
              <w:jc w:val="right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shd w:val="clear" w:color="auto" w:fill="auto"/>
          </w:tcPr>
          <w:p w14:paraId="7E845DCA" w14:textId="77777777" w:rsidR="00017585" w:rsidRPr="00F25A48" w:rsidRDefault="00017585" w:rsidP="00017585">
            <w:pPr>
              <w:spacing w:line="360" w:lineRule="auto"/>
              <w:ind w:right="601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17585" w:rsidRPr="006B0F5A" w14:paraId="5051E3B9" w14:textId="77777777" w:rsidTr="00017585">
        <w:trPr>
          <w:trHeight w:val="74"/>
        </w:trPr>
        <w:tc>
          <w:tcPr>
            <w:tcW w:w="4253" w:type="dxa"/>
            <w:shd w:val="clear" w:color="auto" w:fill="auto"/>
          </w:tcPr>
          <w:p w14:paraId="00D8D89B" w14:textId="13FD338A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01A">
              <w:rPr>
                <w:rFonts w:cs="Times New Roman"/>
                <w:b/>
                <w:sz w:val="20"/>
                <w:szCs w:val="20"/>
              </w:rPr>
              <w:t xml:space="preserve">Number of health services for allergic </w:t>
            </w:r>
            <w:proofErr w:type="spellStart"/>
            <w:r w:rsidRPr="001E701A">
              <w:rPr>
                <w:rFonts w:cs="Times New Roman"/>
                <w:b/>
                <w:sz w:val="20"/>
                <w:szCs w:val="20"/>
              </w:rPr>
              <w:t>diseases</w:t>
            </w:r>
            <w:r w:rsidR="007A1AEE">
              <w:rPr>
                <w:rFonts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9B1A95A" w14:textId="357FF521" w:rsidR="00017585" w:rsidRPr="00017585" w:rsidRDefault="00017585" w:rsidP="00017585">
            <w:pPr>
              <w:spacing w:line="360" w:lineRule="auto"/>
              <w:ind w:right="36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CA"/>
              </w:rPr>
            </w:pPr>
            <w:r w:rsidRPr="00017585">
              <w:rPr>
                <w:rFonts w:eastAsia="Times New Roman" w:cs="Times New Roman"/>
                <w:i/>
                <w:iCs/>
                <w:sz w:val="20"/>
                <w:szCs w:val="20"/>
                <w:lang w:val="en-CA"/>
              </w:rPr>
              <w:t>P=0.789</w:t>
            </w:r>
          </w:p>
        </w:tc>
        <w:tc>
          <w:tcPr>
            <w:tcW w:w="2693" w:type="dxa"/>
            <w:shd w:val="clear" w:color="auto" w:fill="auto"/>
          </w:tcPr>
          <w:p w14:paraId="55E5148A" w14:textId="6D1B1BB1" w:rsidR="00017585" w:rsidRPr="00017585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17585">
              <w:rPr>
                <w:rFonts w:eastAsia="Times New Roman" w:cs="Times New Roman"/>
                <w:i/>
                <w:iCs/>
                <w:sz w:val="20"/>
                <w:szCs w:val="20"/>
              </w:rPr>
              <w:t>P&lt;0.0001</w:t>
            </w:r>
          </w:p>
        </w:tc>
      </w:tr>
      <w:tr w:rsidR="00017585" w:rsidRPr="001E701A" w14:paraId="324888C0" w14:textId="77777777" w:rsidTr="00017585">
        <w:tc>
          <w:tcPr>
            <w:tcW w:w="4253" w:type="dxa"/>
            <w:shd w:val="clear" w:color="auto" w:fill="auto"/>
          </w:tcPr>
          <w:p w14:paraId="3F0C75DE" w14:textId="77777777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  <w:lang w:val="en-CA"/>
              </w:rPr>
            </w:pPr>
            <w:r w:rsidRPr="001E701A">
              <w:rPr>
                <w:rFonts w:cs="Times New Roman"/>
                <w:sz w:val="20"/>
                <w:szCs w:val="20"/>
                <w:lang w:val="en-CA"/>
              </w:rPr>
              <w:tab/>
              <w:t>0</w:t>
            </w:r>
          </w:p>
        </w:tc>
        <w:tc>
          <w:tcPr>
            <w:tcW w:w="2693" w:type="dxa"/>
            <w:shd w:val="clear" w:color="auto" w:fill="auto"/>
          </w:tcPr>
          <w:p w14:paraId="6EDF4062" w14:textId="77777777" w:rsidR="00017585" w:rsidRPr="00DA7233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DA7233">
              <w:rPr>
                <w:rFonts w:eastAsia="Times New Roman" w:cs="Times New Roman"/>
                <w:sz w:val="20"/>
                <w:szCs w:val="20"/>
              </w:rPr>
              <w:t>Ref</w:t>
            </w:r>
          </w:p>
        </w:tc>
        <w:tc>
          <w:tcPr>
            <w:tcW w:w="2693" w:type="dxa"/>
            <w:shd w:val="clear" w:color="auto" w:fill="auto"/>
          </w:tcPr>
          <w:p w14:paraId="2DC67A24" w14:textId="77777777" w:rsidR="00017585" w:rsidRPr="00DA7233" w:rsidRDefault="00017585" w:rsidP="00017585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7233">
              <w:rPr>
                <w:rFonts w:eastAsia="Times New Roman" w:cs="Times New Roman"/>
                <w:sz w:val="20"/>
                <w:szCs w:val="20"/>
              </w:rPr>
              <w:t>Ref</w:t>
            </w:r>
          </w:p>
        </w:tc>
      </w:tr>
      <w:tr w:rsidR="00017585" w:rsidRPr="001E701A" w14:paraId="016FF512" w14:textId="77777777" w:rsidTr="0001758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3B30724" w14:textId="77777777" w:rsidR="00017585" w:rsidRPr="001E701A" w:rsidRDefault="00017585" w:rsidP="00017585">
            <w:pPr>
              <w:tabs>
                <w:tab w:val="left" w:pos="299"/>
              </w:tabs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E701A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8457856" w14:textId="2D8CE1FC" w:rsidR="00017585" w:rsidRPr="00DA7233" w:rsidRDefault="00017585" w:rsidP="00017585">
            <w:pPr>
              <w:spacing w:line="360" w:lineRule="auto"/>
              <w:ind w:right="461"/>
              <w:jc w:val="right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1.08</w:t>
            </w:r>
            <w:r w:rsidRPr="00DA7233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(0.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62</w:t>
            </w:r>
            <w:r w:rsidRPr="00DA7233">
              <w:rPr>
                <w:rFonts w:eastAsia="Times New Roman" w:cs="Times New Roman"/>
                <w:sz w:val="20"/>
                <w:szCs w:val="20"/>
                <w:lang w:val="en-CA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1.87</w:t>
            </w:r>
            <w:r w:rsidRPr="00DA7233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0E94E5C" w14:textId="048D7FAA" w:rsidR="00017585" w:rsidRPr="001E701A" w:rsidRDefault="00017585" w:rsidP="00017585">
            <w:pPr>
              <w:spacing w:line="360" w:lineRule="auto"/>
              <w:ind w:right="601"/>
              <w:jc w:val="right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0.35 (0.22-0.56)</w:t>
            </w:r>
          </w:p>
        </w:tc>
      </w:tr>
    </w:tbl>
    <w:p w14:paraId="01FA5990" w14:textId="77777777" w:rsidR="006B0F5A" w:rsidRDefault="006B0F5A" w:rsidP="006B0F5A">
      <w:pPr>
        <w:spacing w:after="0" w:line="360" w:lineRule="auto"/>
        <w:ind w:right="4"/>
        <w:jc w:val="both"/>
        <w:rPr>
          <w:rFonts w:cs="Times New Roman"/>
          <w:vertAlign w:val="superscript"/>
          <w:lang w:val="en-CA"/>
        </w:rPr>
      </w:pPr>
    </w:p>
    <w:p w14:paraId="3F195841" w14:textId="2E7EFC45" w:rsidR="006B0F5A" w:rsidRPr="006B0F5A" w:rsidRDefault="006B0F5A" w:rsidP="006B0F5A">
      <w:pPr>
        <w:spacing w:after="0" w:line="360" w:lineRule="auto"/>
        <w:ind w:right="4"/>
        <w:jc w:val="both"/>
        <w:rPr>
          <w:rFonts w:cs="Times New Roman"/>
          <w:vertAlign w:val="superscript"/>
          <w:lang w:val="en-CA"/>
        </w:rPr>
      </w:pPr>
      <w:proofErr w:type="gramStart"/>
      <w:r w:rsidRPr="006B0F5A">
        <w:rPr>
          <w:rFonts w:cs="Times New Roman"/>
          <w:vertAlign w:val="superscript"/>
          <w:lang w:val="en-CA"/>
        </w:rPr>
        <w:t>a</w:t>
      </w:r>
      <w:proofErr w:type="gramEnd"/>
      <w:r w:rsidRPr="006B0F5A">
        <w:rPr>
          <w:rFonts w:cs="Times New Roman"/>
          <w:vertAlign w:val="superscript"/>
          <w:lang w:val="en-CA"/>
        </w:rPr>
        <w:t xml:space="preserve"> </w:t>
      </w:r>
      <w:r w:rsidRPr="006B0F5A">
        <w:rPr>
          <w:rFonts w:cs="Times New Roman"/>
          <w:lang w:val="en-CA"/>
        </w:rPr>
        <w:t>Asthma from administrative health data was defined as having ≥2 asthma-related physician claims over 30 years or ≥1 asthma-related hospitalization, within a 30-year lookback window (1983-2012).</w:t>
      </w:r>
      <w:r w:rsidR="0039604B">
        <w:rPr>
          <w:rFonts w:cs="Times New Roman"/>
          <w:lang w:val="en-CA"/>
        </w:rPr>
        <w:t xml:space="preserve"> There were 219 subjects without agreement, 718 with positive agreement</w:t>
      </w:r>
      <w:r w:rsidR="00DF48C6">
        <w:rPr>
          <w:rFonts w:cs="Times New Roman"/>
          <w:lang w:val="en-CA"/>
        </w:rPr>
        <w:t xml:space="preserve"> (asthma)</w:t>
      </w:r>
      <w:r w:rsidR="0039604B">
        <w:rPr>
          <w:rFonts w:cs="Times New Roman"/>
          <w:lang w:val="en-CA"/>
        </w:rPr>
        <w:t xml:space="preserve"> and </w:t>
      </w:r>
      <w:r w:rsidR="00017585">
        <w:rPr>
          <w:rFonts w:cs="Times New Roman"/>
          <w:lang w:val="en-CA"/>
        </w:rPr>
        <w:t>701 with negative agreement</w:t>
      </w:r>
      <w:r w:rsidR="00DF48C6">
        <w:rPr>
          <w:rFonts w:cs="Times New Roman"/>
          <w:lang w:val="en-CA"/>
        </w:rPr>
        <w:t xml:space="preserve"> (no asthma)</w:t>
      </w:r>
      <w:r w:rsidR="00017585">
        <w:rPr>
          <w:rFonts w:cs="Times New Roman"/>
          <w:lang w:val="en-CA"/>
        </w:rPr>
        <w:t>.</w:t>
      </w:r>
    </w:p>
    <w:p w14:paraId="4A5B8F9A" w14:textId="77777777" w:rsidR="006B0F5A" w:rsidRPr="006B0F5A" w:rsidRDefault="006B0F5A" w:rsidP="006B0F5A">
      <w:pPr>
        <w:spacing w:after="0" w:line="360" w:lineRule="auto"/>
        <w:ind w:right="4"/>
        <w:jc w:val="both"/>
        <w:rPr>
          <w:rFonts w:cs="Times New Roman"/>
          <w:lang w:val="en-CA"/>
        </w:rPr>
      </w:pPr>
      <w:r w:rsidRPr="006B0F5A">
        <w:rPr>
          <w:rFonts w:cs="Times New Roman"/>
          <w:vertAlign w:val="superscript"/>
          <w:lang w:val="en-CA"/>
        </w:rPr>
        <w:t>b</w:t>
      </w:r>
      <w:r w:rsidRPr="006B0F5A">
        <w:rPr>
          <w:rFonts w:cs="Times New Roman"/>
          <w:lang w:val="en-CA"/>
        </w:rPr>
        <w:t xml:space="preserve"> </w:t>
      </w:r>
      <w:proofErr w:type="gramStart"/>
      <w:r w:rsidRPr="006B0F5A">
        <w:rPr>
          <w:rFonts w:cs="Times New Roman"/>
          <w:lang w:val="en-CA"/>
        </w:rPr>
        <w:t>On</w:t>
      </w:r>
      <w:proofErr w:type="gramEnd"/>
      <w:r w:rsidRPr="006B0F5A">
        <w:rPr>
          <w:rFonts w:cs="Times New Roman"/>
          <w:lang w:val="en-CA"/>
        </w:rPr>
        <w:t xml:space="preserve"> imputed dataset and applying weights corresponding to the inverse of the sampling probability and correcting variance estimates with the Taylor series method.</w:t>
      </w:r>
    </w:p>
    <w:p w14:paraId="3A29B63D" w14:textId="3794D867" w:rsidR="006B0F5A" w:rsidRDefault="006B0F5A" w:rsidP="006B0F5A">
      <w:pPr>
        <w:spacing w:after="0" w:line="360" w:lineRule="auto"/>
        <w:ind w:right="4"/>
        <w:jc w:val="both"/>
        <w:rPr>
          <w:rFonts w:cs="Times New Roman"/>
          <w:lang w:val="en-CA"/>
        </w:rPr>
      </w:pPr>
      <w:r w:rsidRPr="006B0F5A">
        <w:rPr>
          <w:rFonts w:cs="Times New Roman"/>
          <w:vertAlign w:val="superscript"/>
          <w:lang w:val="en-CA"/>
        </w:rPr>
        <w:t>c</w:t>
      </w:r>
      <w:r w:rsidRPr="006B0F5A">
        <w:rPr>
          <w:rFonts w:cs="Times New Roman"/>
          <w:lang w:val="en-CA"/>
        </w:rPr>
        <w:t xml:space="preserve"> Allergic diseases include allergic rhinitis, eczema, allergic urticaria, and other allergies non-specified; asthma is excluded.</w:t>
      </w:r>
    </w:p>
    <w:p w14:paraId="643EB079" w14:textId="5404EF9E" w:rsidR="007A1AEE" w:rsidRDefault="007A1AEE" w:rsidP="006B0F5A">
      <w:pPr>
        <w:spacing w:after="0" w:line="360" w:lineRule="auto"/>
        <w:ind w:right="4"/>
        <w:jc w:val="both"/>
        <w:rPr>
          <w:rFonts w:cs="Times New Roman"/>
          <w:lang w:val="en-CA"/>
        </w:rPr>
      </w:pPr>
    </w:p>
    <w:p w14:paraId="5C695C2F" w14:textId="637A1D5E" w:rsidR="007A1AEE" w:rsidRPr="006B0F5A" w:rsidRDefault="00D86CCB" w:rsidP="006B0F5A">
      <w:pPr>
        <w:spacing w:after="0" w:line="360" w:lineRule="auto"/>
        <w:ind w:right="4"/>
        <w:jc w:val="both"/>
        <w:rPr>
          <w:rFonts w:cs="Times New Roman"/>
          <w:lang w:val="en-CA"/>
        </w:rPr>
      </w:pPr>
      <w:r>
        <w:rPr>
          <w:lang w:val="en-CA"/>
        </w:rPr>
        <w:t xml:space="preserve">Interpretation: </w:t>
      </w:r>
      <w:r w:rsidRPr="00D86CCB">
        <w:rPr>
          <w:lang w:val="en-CA"/>
        </w:rPr>
        <w:t xml:space="preserve">A tendency toward an increased likelihood of positive agreement was observed among those with parental history of asthma, whereas there was no association </w:t>
      </w:r>
      <w:r>
        <w:rPr>
          <w:lang w:val="en-CA"/>
        </w:rPr>
        <w:t xml:space="preserve">between the </w:t>
      </w:r>
      <w:r w:rsidRPr="00D86CCB">
        <w:rPr>
          <w:lang w:val="en-CA"/>
        </w:rPr>
        <w:t xml:space="preserve">number of health services for allergic diseases </w:t>
      </w:r>
      <w:r>
        <w:rPr>
          <w:lang w:val="en-CA"/>
        </w:rPr>
        <w:t xml:space="preserve">other than asthma </w:t>
      </w:r>
      <w:r w:rsidRPr="00D86CCB">
        <w:rPr>
          <w:lang w:val="en-CA"/>
        </w:rPr>
        <w:t>and positive agreement.</w:t>
      </w:r>
      <w:r>
        <w:rPr>
          <w:lang w:val="en-CA"/>
        </w:rPr>
        <w:t xml:space="preserve"> Having a parental history of asthma and having had health services for allergic diseases (excluding asthma) were associated with a lower likelihood of </w:t>
      </w:r>
      <w:r>
        <w:rPr>
          <w:lang w:val="en-CA"/>
        </w:rPr>
        <w:lastRenderedPageBreak/>
        <w:t xml:space="preserve">negative agreement. In other words, when considering the inverse of these odds ratios for ease of interpretation, not having </w:t>
      </w:r>
      <w:r w:rsidRPr="00D86CCB">
        <w:rPr>
          <w:lang w:val="en-CA"/>
        </w:rPr>
        <w:t>parental history of asthma was associated with a twofold likelihood of negative agreement (vs. having parental history) and not having received health services for allergic diseases other than asthma was associated with a threefold likelihood of negative agreement (vs.</w:t>
      </w:r>
      <w:r>
        <w:rPr>
          <w:lang w:val="en-CA"/>
        </w:rPr>
        <w:t xml:space="preserve"> having received some </w:t>
      </w:r>
      <w:r w:rsidRPr="00D86CCB">
        <w:rPr>
          <w:lang w:val="en-CA"/>
        </w:rPr>
        <w:t>health services</w:t>
      </w:r>
      <w:r>
        <w:rPr>
          <w:lang w:val="en-CA"/>
        </w:rPr>
        <w:t xml:space="preserve"> for allergic diseases</w:t>
      </w:r>
      <w:r w:rsidRPr="00D86CCB">
        <w:rPr>
          <w:lang w:val="en-CA"/>
        </w:rPr>
        <w:t xml:space="preserve">). </w:t>
      </w:r>
    </w:p>
    <w:p w14:paraId="6D41109C" w14:textId="77777777" w:rsidR="006B0F5A" w:rsidRPr="006B0F5A" w:rsidRDefault="006B0F5A" w:rsidP="006B0F5A">
      <w:pPr>
        <w:spacing w:after="0" w:line="360" w:lineRule="auto"/>
        <w:ind w:right="4"/>
        <w:jc w:val="both"/>
        <w:rPr>
          <w:rFonts w:cs="Times New Roman"/>
          <w:lang w:val="en-CA"/>
        </w:rPr>
      </w:pPr>
    </w:p>
    <w:p w14:paraId="042201A4" w14:textId="74271154" w:rsidR="006B0F5A" w:rsidRPr="00E37101" w:rsidRDefault="006B0F5A" w:rsidP="007A1AEE">
      <w:pPr>
        <w:spacing w:after="120" w:line="360" w:lineRule="auto"/>
        <w:rPr>
          <w:b/>
          <w:lang w:val="en-CA"/>
        </w:rPr>
      </w:pPr>
      <w:r w:rsidRPr="006B0F5A">
        <w:rPr>
          <w:rFonts w:cs="Times New Roman"/>
          <w:lang w:val="en-CA"/>
        </w:rPr>
        <w:t>Compilation based on data from the ©Government of Quebec</w:t>
      </w:r>
      <w:r w:rsidRPr="006B0F5A">
        <w:rPr>
          <w:rFonts w:cs="Times New Roman"/>
          <w:i/>
          <w:iCs/>
          <w:lang w:val="en-CA"/>
        </w:rPr>
        <w:t xml:space="preserve">, </w:t>
      </w:r>
      <w:proofErr w:type="spellStart"/>
      <w:r w:rsidRPr="006B0F5A">
        <w:rPr>
          <w:rFonts w:cs="Times New Roman"/>
          <w:i/>
          <w:iCs/>
          <w:lang w:val="en-CA"/>
        </w:rPr>
        <w:t>Institut</w:t>
      </w:r>
      <w:proofErr w:type="spellEnd"/>
      <w:r w:rsidRPr="006B0F5A">
        <w:rPr>
          <w:rFonts w:cs="Times New Roman"/>
          <w:i/>
          <w:iCs/>
          <w:lang w:val="en-CA"/>
        </w:rPr>
        <w:t xml:space="preserve"> de la </w:t>
      </w:r>
      <w:proofErr w:type="spellStart"/>
      <w:r w:rsidRPr="006B0F5A">
        <w:rPr>
          <w:rFonts w:cs="Times New Roman"/>
          <w:i/>
          <w:iCs/>
          <w:lang w:val="en-CA"/>
        </w:rPr>
        <w:t>statistique</w:t>
      </w:r>
      <w:proofErr w:type="spellEnd"/>
      <w:r w:rsidRPr="006B0F5A">
        <w:rPr>
          <w:rFonts w:cs="Times New Roman"/>
          <w:i/>
          <w:iCs/>
          <w:lang w:val="en-CA"/>
        </w:rPr>
        <w:t xml:space="preserve"> du Québec</w:t>
      </w:r>
      <w:r w:rsidRPr="006B0F5A">
        <w:rPr>
          <w:rFonts w:cs="Times New Roman"/>
          <w:lang w:val="en-CA"/>
        </w:rPr>
        <w:t xml:space="preserve">, Survey on Childhood </w:t>
      </w:r>
      <w:proofErr w:type="gramStart"/>
      <w:r w:rsidRPr="006B0F5A">
        <w:rPr>
          <w:rFonts w:cs="Times New Roman"/>
          <w:lang w:val="en-CA"/>
        </w:rPr>
        <w:t>Environment</w:t>
      </w:r>
      <w:proofErr w:type="gramEnd"/>
      <w:r w:rsidRPr="006B0F5A">
        <w:rPr>
          <w:rFonts w:cs="Times New Roman"/>
          <w:lang w:val="en-CA"/>
        </w:rPr>
        <w:t xml:space="preserve"> and the Development of Allergic Diseases, 2012 and Quebec Birth Cohort on Immunity and Health, 2017. </w:t>
      </w:r>
      <w:r w:rsidRPr="00F951E5">
        <w:rPr>
          <w:rFonts w:cs="Times New Roman"/>
          <w:i/>
          <w:iCs/>
        </w:rPr>
        <w:t>Institut de la statistique du Québec</w:t>
      </w:r>
      <w:r w:rsidRPr="00183721">
        <w:rPr>
          <w:rFonts w:cs="Times New Roman"/>
        </w:rPr>
        <w:t xml:space="preserve"> </w:t>
      </w:r>
      <w:proofErr w:type="spellStart"/>
      <w:r w:rsidRPr="00183721">
        <w:rPr>
          <w:rFonts w:cs="Times New Roman"/>
        </w:rPr>
        <w:t>is</w:t>
      </w:r>
      <w:proofErr w:type="spellEnd"/>
      <w:r w:rsidRPr="00183721">
        <w:rPr>
          <w:rFonts w:cs="Times New Roman"/>
        </w:rPr>
        <w:t xml:space="preserve"> not </w:t>
      </w:r>
      <w:proofErr w:type="spellStart"/>
      <w:r w:rsidRPr="00183721">
        <w:rPr>
          <w:rFonts w:cs="Times New Roman"/>
        </w:rPr>
        <w:t>responsible</w:t>
      </w:r>
      <w:proofErr w:type="spellEnd"/>
      <w:r w:rsidRPr="00183721">
        <w:rPr>
          <w:rFonts w:cs="Times New Roman"/>
        </w:rPr>
        <w:t xml:space="preserve"> for compilations or </w:t>
      </w:r>
      <w:proofErr w:type="spellStart"/>
      <w:r w:rsidRPr="00183721">
        <w:rPr>
          <w:rFonts w:cs="Times New Roman"/>
        </w:rPr>
        <w:t>interpretation</w:t>
      </w:r>
      <w:proofErr w:type="spellEnd"/>
      <w:r w:rsidRPr="00183721">
        <w:rPr>
          <w:rFonts w:cs="Times New Roman"/>
        </w:rPr>
        <w:t xml:space="preserve"> of </w:t>
      </w:r>
      <w:proofErr w:type="spellStart"/>
      <w:r w:rsidRPr="00183721">
        <w:rPr>
          <w:rFonts w:cs="Times New Roman"/>
        </w:rPr>
        <w:t>results</w:t>
      </w:r>
      <w:proofErr w:type="spellEnd"/>
      <w:r w:rsidRPr="00183721">
        <w:rPr>
          <w:rFonts w:cs="Times New Roman"/>
        </w:rPr>
        <w:t>.</w:t>
      </w:r>
    </w:p>
    <w:sectPr w:rsidR="006B0F5A" w:rsidRPr="00E37101" w:rsidSect="006B0F5A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3DF7" w14:textId="77777777" w:rsidR="00025D94" w:rsidRDefault="00025D94" w:rsidP="00AB0E76">
      <w:pPr>
        <w:spacing w:after="0" w:line="240" w:lineRule="auto"/>
      </w:pPr>
      <w:r>
        <w:separator/>
      </w:r>
    </w:p>
  </w:endnote>
  <w:endnote w:type="continuationSeparator" w:id="0">
    <w:p w14:paraId="1358C28A" w14:textId="77777777" w:rsidR="00025D94" w:rsidRDefault="00025D94" w:rsidP="00AB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15C0" w14:textId="77777777" w:rsidR="00025D94" w:rsidRDefault="00025D94" w:rsidP="00AB0E76">
      <w:pPr>
        <w:spacing w:after="0" w:line="240" w:lineRule="auto"/>
      </w:pPr>
      <w:r>
        <w:separator/>
      </w:r>
    </w:p>
  </w:footnote>
  <w:footnote w:type="continuationSeparator" w:id="0">
    <w:p w14:paraId="6AE35970" w14:textId="77777777" w:rsidR="00025D94" w:rsidRDefault="00025D94" w:rsidP="00AB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FA0" w14:textId="12F27869" w:rsidR="00AB0E76" w:rsidRPr="00C465E7" w:rsidRDefault="00AB0E76">
    <w:pPr>
      <w:pStyle w:val="En-tte"/>
      <w:rPr>
        <w:sz w:val="20"/>
        <w:szCs w:val="20"/>
        <w:lang w:val="en-CA"/>
      </w:rPr>
    </w:pPr>
    <w:r w:rsidRPr="00C465E7">
      <w:rPr>
        <w:sz w:val="20"/>
        <w:szCs w:val="20"/>
        <w:lang w:val="en-CA"/>
      </w:rPr>
      <w:t>Rousseau et al. 202</w:t>
    </w:r>
    <w:r w:rsidR="00A02A4A">
      <w:rPr>
        <w:sz w:val="20"/>
        <w:szCs w:val="20"/>
        <w:lang w:val="en-CA"/>
      </w:rPr>
      <w:t>3</w:t>
    </w:r>
  </w:p>
  <w:p w14:paraId="7CBCE4F0" w14:textId="77777777" w:rsidR="00AB0E76" w:rsidRDefault="00AB0E76">
    <w:pPr>
      <w:pStyle w:val="En-tte"/>
      <w:pBdr>
        <w:bottom w:val="single" w:sz="6" w:space="1" w:color="auto"/>
      </w:pBdr>
      <w:rPr>
        <w:rFonts w:cs="Times New Roman"/>
        <w:sz w:val="20"/>
        <w:szCs w:val="20"/>
        <w:lang w:val="en-CA"/>
      </w:rPr>
    </w:pPr>
    <w:r w:rsidRPr="00AB0E76">
      <w:rPr>
        <w:rFonts w:cs="Times New Roman"/>
        <w:sz w:val="20"/>
        <w:szCs w:val="20"/>
        <w:lang w:val="en-CA"/>
      </w:rPr>
      <w:t>Ascertaining asthma in epidemiologic studies: a comparison between administrative health data and self-report</w:t>
    </w:r>
  </w:p>
  <w:p w14:paraId="75A7C6E4" w14:textId="77777777" w:rsidR="00AB0E76" w:rsidRDefault="00AB0E76">
    <w:pPr>
      <w:pStyle w:val="En-tte"/>
      <w:rPr>
        <w:sz w:val="20"/>
        <w:szCs w:val="20"/>
        <w:lang w:val="en-CA"/>
      </w:rPr>
    </w:pPr>
  </w:p>
  <w:p w14:paraId="408614D6" w14:textId="77777777" w:rsidR="00AB0E76" w:rsidRPr="00AB0E76" w:rsidRDefault="00AB0E76">
    <w:pPr>
      <w:pStyle w:val="En-tte"/>
      <w:rPr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Res Meth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9xr5daxexde5erwtopdvabsf2txwr590w5&quot;&gt;BIBMCR&lt;record-ids&gt;&lt;item&gt;2473&lt;/item&gt;&lt;item&gt;2826&lt;/item&gt;&lt;item&gt;2827&lt;/item&gt;&lt;item&gt;2908&lt;/item&gt;&lt;item&gt;2969&lt;/item&gt;&lt;item&gt;5637&lt;/item&gt;&lt;item&gt;6456&lt;/item&gt;&lt;item&gt;6459&lt;/item&gt;&lt;item&gt;6587&lt;/item&gt;&lt;/record-ids&gt;&lt;/item&gt;&lt;/Libraries&gt;"/>
  </w:docVars>
  <w:rsids>
    <w:rsidRoot w:val="00D4150D"/>
    <w:rsid w:val="00017585"/>
    <w:rsid w:val="00025D94"/>
    <w:rsid w:val="00072356"/>
    <w:rsid w:val="00193D25"/>
    <w:rsid w:val="001B609C"/>
    <w:rsid w:val="0039604B"/>
    <w:rsid w:val="003A3F96"/>
    <w:rsid w:val="004768E5"/>
    <w:rsid w:val="00503004"/>
    <w:rsid w:val="005072BC"/>
    <w:rsid w:val="00541D90"/>
    <w:rsid w:val="00613D3D"/>
    <w:rsid w:val="006A1EFC"/>
    <w:rsid w:val="006B0F5A"/>
    <w:rsid w:val="006D30E9"/>
    <w:rsid w:val="007041B7"/>
    <w:rsid w:val="00705A8D"/>
    <w:rsid w:val="007A1AEE"/>
    <w:rsid w:val="00816204"/>
    <w:rsid w:val="009640EB"/>
    <w:rsid w:val="00977008"/>
    <w:rsid w:val="00A02A4A"/>
    <w:rsid w:val="00AB0E76"/>
    <w:rsid w:val="00AB1A8F"/>
    <w:rsid w:val="00AE310F"/>
    <w:rsid w:val="00C17544"/>
    <w:rsid w:val="00C21DD2"/>
    <w:rsid w:val="00C465E7"/>
    <w:rsid w:val="00CA1241"/>
    <w:rsid w:val="00CF166D"/>
    <w:rsid w:val="00D4150D"/>
    <w:rsid w:val="00D86CCB"/>
    <w:rsid w:val="00D95C90"/>
    <w:rsid w:val="00DB4E90"/>
    <w:rsid w:val="00DE6F66"/>
    <w:rsid w:val="00DF48C6"/>
    <w:rsid w:val="00E37101"/>
    <w:rsid w:val="00EC0B02"/>
    <w:rsid w:val="00EC7785"/>
    <w:rsid w:val="00F56BD1"/>
    <w:rsid w:val="00F82B4F"/>
    <w:rsid w:val="00FB7DB0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6A0F"/>
  <w15:chartTrackingRefBased/>
  <w15:docId w15:val="{ADE901E0-E791-4AEF-81E7-0028BF4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5072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072B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5072B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5072BC"/>
    <w:rPr>
      <w:rFonts w:ascii="Calibri" w:hAnsi="Calibri" w:cs="Calibri"/>
      <w:noProof/>
      <w:lang w:val="en-US"/>
    </w:rPr>
  </w:style>
  <w:style w:type="table" w:styleId="Grilledutableau">
    <w:name w:val="Table Grid"/>
    <w:basedOn w:val="TableauNormal"/>
    <w:uiPriority w:val="59"/>
    <w:rsid w:val="004768E5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D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A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0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E76"/>
  </w:style>
  <w:style w:type="paragraph" w:styleId="Pieddepage">
    <w:name w:val="footer"/>
    <w:basedOn w:val="Normal"/>
    <w:link w:val="PieddepageCar"/>
    <w:uiPriority w:val="99"/>
    <w:unhideWhenUsed/>
    <w:rsid w:val="00AB0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E76"/>
  </w:style>
  <w:style w:type="character" w:styleId="Marquedecommentaire">
    <w:name w:val="annotation reference"/>
    <w:basedOn w:val="Policepardfaut"/>
    <w:uiPriority w:val="99"/>
    <w:semiHidden/>
    <w:unhideWhenUsed/>
    <w:rsid w:val="00CF16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16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6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6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66D"/>
    <w:rPr>
      <w:b/>
      <w:bCs/>
      <w:sz w:val="20"/>
      <w:szCs w:val="20"/>
    </w:rPr>
  </w:style>
  <w:style w:type="table" w:styleId="Tableausimple5">
    <w:name w:val="Plain Table 5"/>
    <w:basedOn w:val="TableauNormal"/>
    <w:uiPriority w:val="45"/>
    <w:rsid w:val="00D95C90"/>
    <w:pPr>
      <w:spacing w:after="0" w:line="240" w:lineRule="auto"/>
    </w:pPr>
    <w:rPr>
      <w:lang w:val="en-C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4E0C-AD47-4E88-ABFF-9F56181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Marie-Claude</dc:creator>
  <cp:keywords/>
  <dc:description/>
  <cp:lastModifiedBy>Michel</cp:lastModifiedBy>
  <cp:revision>2</cp:revision>
  <dcterms:created xsi:type="dcterms:W3CDTF">2024-03-30T15:56:00Z</dcterms:created>
  <dcterms:modified xsi:type="dcterms:W3CDTF">2024-03-30T15:56:00Z</dcterms:modified>
</cp:coreProperties>
</file>